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360" w:lineRule="auto"/>
        <w:jc w:val="center"/>
        <w:rPr>
          <w:rFonts w:hint="eastAsia" w:ascii="仿宋_GB2312" w:eastAsia="仿宋_GB2312"/>
          <w:b/>
          <w:kern w:val="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kern w:val="2"/>
          <w:sz w:val="36"/>
          <w:szCs w:val="36"/>
          <w:lang w:val="en-US" w:eastAsia="zh-CN"/>
        </w:rPr>
        <w:t>机电学院</w:t>
      </w:r>
      <w:r>
        <w:rPr>
          <w:rFonts w:hint="eastAsia" w:ascii="仿宋_GB2312" w:eastAsia="仿宋_GB2312"/>
          <w:b/>
          <w:kern w:val="2"/>
          <w:sz w:val="36"/>
          <w:szCs w:val="36"/>
        </w:rPr>
        <w:t>2022</w:t>
      </w:r>
      <w:r>
        <w:rPr>
          <w:rFonts w:hint="eastAsia" w:ascii="仿宋_GB2312" w:eastAsia="仿宋_GB2312"/>
          <w:b/>
          <w:kern w:val="2"/>
          <w:sz w:val="36"/>
          <w:szCs w:val="36"/>
          <w:lang w:val="en-US" w:eastAsia="zh-CN"/>
        </w:rPr>
        <w:t>届</w:t>
      </w:r>
      <w:r>
        <w:rPr>
          <w:rFonts w:hint="eastAsia" w:ascii="仿宋_GB2312" w:eastAsia="仿宋_GB2312"/>
          <w:b/>
          <w:kern w:val="2"/>
          <w:sz w:val="36"/>
          <w:szCs w:val="36"/>
        </w:rPr>
        <w:t>推荐优秀应届本科毕业生免试攻读研究生遴选综合评价</w:t>
      </w:r>
      <w:r>
        <w:rPr>
          <w:rFonts w:hint="eastAsia" w:ascii="仿宋_GB2312" w:eastAsia="仿宋_GB2312"/>
          <w:b/>
          <w:kern w:val="2"/>
          <w:sz w:val="36"/>
          <w:szCs w:val="36"/>
          <w:lang w:val="en-US" w:eastAsia="zh-CN"/>
        </w:rPr>
        <w:t>办法</w:t>
      </w:r>
    </w:p>
    <w:p>
      <w:pPr>
        <w:spacing w:line="560" w:lineRule="exact"/>
        <w:ind w:right="105" w:rightChars="50" w:firstLine="640" w:firstLineChars="200"/>
        <w:jc w:val="both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ind w:right="105" w:rightChars="50" w:firstLine="640" w:firstLineChars="200"/>
        <w:jc w:val="both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为进一步深化人才培养改革，强化推荐免试硕士的综合素质考察，提升推荐免试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硕士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选拔工作的科学化水平，选拔出更多符合时代发展、行业革新的拔尖创新型人才，现将机电学院推荐免试硕士综合评分办法改革如下。</w:t>
      </w:r>
    </w:p>
    <w:p>
      <w:pPr>
        <w:spacing w:line="560" w:lineRule="exact"/>
        <w:ind w:right="105" w:rightChars="50" w:firstLine="640" w:firstLineChars="200"/>
        <w:jc w:val="both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本办法适用于本硕连读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普通类推免选拔，支教专项推免严格按照9月份学校发布的推免工作细则执行，由学生申报，学校组织遴选。鼓励符合推免条件的学生申报直博生，由学院组织评审。</w:t>
      </w:r>
    </w:p>
    <w:p>
      <w:pPr>
        <w:spacing w:line="560" w:lineRule="exact"/>
        <w:ind w:right="105" w:rightChars="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一、推免基本条件</w:t>
      </w:r>
    </w:p>
    <w:p>
      <w:pPr>
        <w:spacing w:line="560" w:lineRule="exact"/>
        <w:ind w:right="105" w:rightChars="5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应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为应届毕业年级学生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，思想品德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考核合格，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未违背学术诚信，无考试违纪、考试作弊行为。</w:t>
      </w:r>
    </w:p>
    <w:p>
      <w:pPr>
        <w:spacing w:line="560" w:lineRule="exact"/>
        <w:ind w:right="105" w:rightChars="5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学习成绩优良，须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当前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全部应修的必修课程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，必修课程的平均学分绩点大于等于3.2。</w:t>
      </w:r>
    </w:p>
    <w:p>
      <w:pPr>
        <w:spacing w:line="560" w:lineRule="exact"/>
        <w:ind w:right="105" w:rightChars="5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3.综合能力强，学术研究兴趣浓厚，具有国际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视野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和较强的专业素质能力、科研创新潜质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仿宋_GB2312" w:eastAsia="仿宋_GB2312"/>
          <w:b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kern w:val="2"/>
          <w:sz w:val="32"/>
          <w:szCs w:val="32"/>
          <w:highlight w:val="none"/>
        </w:rPr>
        <w:t>遴选综合评价指标体系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（一）申请推免资格，须满足推免基本条件和以下条件之一：</w:t>
      </w:r>
    </w:p>
    <w:p>
      <w:pPr>
        <w:spacing w:line="560" w:lineRule="exact"/>
        <w:ind w:right="105" w:rightChars="5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条件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本硕（博）连读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培养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学年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考核合格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；</w:t>
      </w:r>
    </w:p>
    <w:p>
      <w:pPr>
        <w:spacing w:line="560" w:lineRule="exact"/>
        <w:ind w:right="105" w:rightChars="5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条件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.必修课程平均学分绩点在专业排名前20%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不包含本硕连读培养学生进行的专业排名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；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条件3.必修课程平均学分绩点在专业排名前45%，且本科阶段</w:t>
      </w:r>
      <w:r>
        <w:rPr>
          <w:rFonts w:ascii="仿宋_GB2312" w:hAnsi="宋体" w:eastAsia="仿宋_GB2312" w:cs="宋体"/>
          <w:color w:val="000000"/>
          <w:sz w:val="32"/>
          <w:szCs w:val="32"/>
          <w:highlight w:val="none"/>
        </w:rPr>
        <w:t>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Ⅰ级甲等、Ⅰ级乙等竞赛中获得前三等次奖项或在Ⅱ级甲等竞赛（全国赛）中获得前二等次奖项。</w:t>
      </w:r>
    </w:p>
    <w:p>
      <w:pPr>
        <w:pStyle w:val="14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Ⅰ级甲等、Ⅰ级乙等竞赛中获得第一等次奖的团队，团队排名须在前6名；获得第二、三等次奖的团队，团队排名须在前5名；在Ⅱ级甲等竞赛（全国赛）中获得第二等次及以上奖项的团队，团队排名须在前4名。</w:t>
      </w:r>
    </w:p>
    <w:p>
      <w:pPr>
        <w:pStyle w:val="14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条件4.必修课程平均学分绩点在专业排名前45%，且本科阶段在核心期刊上以独立作者、第一作者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其他作者中无直系亲属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发表与学业相关且被学院专家审核小组认可的科研论文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（二）</w:t>
      </w:r>
      <w:r>
        <w:rPr>
          <w:rFonts w:ascii="仿宋_GB2312" w:hAnsi="宋体" w:eastAsia="仿宋_GB2312" w:cs="宋体"/>
          <w:color w:val="000000"/>
          <w:sz w:val="32"/>
          <w:szCs w:val="32"/>
          <w:highlight w:val="none"/>
        </w:rPr>
        <w:t>推免资格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依据推免遴选综合评价分进行排名，择优授予。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符合推免基本条件的学生可对照相应的要求选择其中一类申请。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推免综合评价分=学习能力分</w:t>
      </w:r>
      <w:r>
        <w:rPr>
          <w:rFonts w:ascii="仿宋_GB2312" w:hAnsi="宋体" w:eastAsia="仿宋_GB2312" w:cs="宋体"/>
          <w:color w:val="000000"/>
          <w:sz w:val="32"/>
          <w:szCs w:val="32"/>
        </w:rPr>
        <w:t>+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创新能力分+素质拓展分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学习能力分主要依据必修课平均学分绩点，在综合评价分中所占比率不低于70%。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如果综合评分相同，则以教务系统必修课程平均绩点进行排列，优先推荐。如果必修课程平均绩点仍然相同，则以教务系统所有课程平均绩点进行排列，优先推荐。如果所有课程平均绩点仍然相同，则以教务系统必修课程平均绩点小数点后两位进行排列，以此类推。</w:t>
      </w:r>
    </w:p>
    <w:p>
      <w:pPr>
        <w:pStyle w:val="5"/>
        <w:widowControl/>
        <w:shd w:val="clear" w:color="auto" w:fill="FFFFFF"/>
        <w:spacing w:line="360" w:lineRule="auto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（三）学习能力分</w:t>
      </w:r>
    </w:p>
    <w:p>
      <w:pPr>
        <w:pStyle w:val="5"/>
        <w:widowControl/>
        <w:shd w:val="clear" w:color="auto" w:fill="FFFFFF"/>
        <w:spacing w:line="360" w:lineRule="auto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1.符合条件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、3和4的学生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学习能力分=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必修课程平均学分绩点。</w:t>
      </w:r>
    </w:p>
    <w:p>
      <w:pPr>
        <w:pStyle w:val="5"/>
        <w:widowControl/>
        <w:shd w:val="clear" w:color="auto" w:fill="FFFFFF"/>
        <w:spacing w:line="360" w:lineRule="auto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2.符合条件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的学生学习能力分=必修课程平均学分绩点+0.8。</w:t>
      </w:r>
    </w:p>
    <w:p>
      <w:pPr>
        <w:pStyle w:val="5"/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3.必修课程平均学分绩点以教务系统数据为准。</w:t>
      </w:r>
    </w:p>
    <w:p>
      <w:pPr>
        <w:pStyle w:val="5"/>
        <w:widowControl/>
        <w:shd w:val="clear" w:color="auto" w:fill="FFFFFF"/>
        <w:spacing w:line="360" w:lineRule="auto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（四）创新能力分</w:t>
      </w:r>
    </w:p>
    <w:p>
      <w:pPr>
        <w:pStyle w:val="5"/>
        <w:widowControl/>
        <w:shd w:val="clear" w:color="auto" w:fill="FFFFFF"/>
        <w:spacing w:line="360" w:lineRule="auto"/>
        <w:ind w:firstLine="645"/>
        <w:rPr>
          <w:rFonts w:hint="eastAsia" w:ascii="仿宋_GB2312" w:hAnsi="宋体" w:eastAsia="仿宋_GB2312" w:cs="宋体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1.创新能力分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评分依据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包括与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学业</w:t>
      </w:r>
      <w:r>
        <w:rPr>
          <w:rFonts w:ascii="仿宋_GB2312" w:hAnsi="宋体" w:eastAsia="仿宋_GB2312" w:cs="宋体"/>
          <w:color w:val="000000"/>
          <w:sz w:val="32"/>
          <w:szCs w:val="32"/>
        </w:rPr>
        <w:t>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的</w:t>
      </w:r>
      <w:r>
        <w:rPr>
          <w:rFonts w:ascii="仿宋_GB2312" w:hAnsi="宋体" w:eastAsia="仿宋_GB2312" w:cs="宋体"/>
          <w:color w:val="000000"/>
          <w:sz w:val="32"/>
          <w:szCs w:val="32"/>
        </w:rPr>
        <w:t>学科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竞赛奖项、</w:t>
      </w:r>
      <w:r>
        <w:rPr>
          <w:rFonts w:ascii="仿宋_GB2312" w:hAnsi="宋体" w:eastAsia="仿宋_GB2312" w:cs="宋体"/>
          <w:color w:val="000000"/>
          <w:sz w:val="32"/>
          <w:szCs w:val="32"/>
        </w:rPr>
        <w:t>科研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论文和创新项目。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学生在学科竞赛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、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科研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论文或创新项目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有多项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加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分情况时，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每个类别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取其中最高项得分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，不重复计分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（参与评分的学科竞赛等级参照南航最新版的科创竞赛认定结果，其中仅对创新创业类、学科知识类竞赛进行认定，除以上情形者，不予以认定。）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.符合条件3的学生创新能力分不高于1.0分，创新能力分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评分依据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只包括竞赛奖项，评分标准见下表：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20"/>
        <w:gridCol w:w="17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34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竞赛等级</w:t>
            </w:r>
          </w:p>
        </w:tc>
        <w:tc>
          <w:tcPr>
            <w:tcW w:w="1620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第一等次</w:t>
            </w:r>
          </w:p>
        </w:tc>
        <w:tc>
          <w:tcPr>
            <w:tcW w:w="1770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第二等次</w:t>
            </w:r>
          </w:p>
        </w:tc>
        <w:tc>
          <w:tcPr>
            <w:tcW w:w="1695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第三等次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34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Ⅰ级甲等</w:t>
            </w:r>
          </w:p>
        </w:tc>
        <w:tc>
          <w:tcPr>
            <w:tcW w:w="1620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1.0</w:t>
            </w:r>
          </w:p>
        </w:tc>
        <w:tc>
          <w:tcPr>
            <w:tcW w:w="1770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95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34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Ⅰ级乙等</w:t>
            </w:r>
          </w:p>
        </w:tc>
        <w:tc>
          <w:tcPr>
            <w:tcW w:w="1620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770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695" w:type="dxa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34" w:type="dxa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Ⅱ级甲等</w:t>
            </w:r>
          </w:p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（全国赛）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pStyle w:val="5"/>
              <w:widowControl/>
              <w:shd w:val="clear" w:color="auto" w:fill="FFFFFF"/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pStyle w:val="5"/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/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highlight w:val="none"/>
          <w:lang w:eastAsia="zh-CN"/>
        </w:rPr>
        <w:t>若以团队参赛的，在对应的创新能力分的分值上减去0.01*（团队排名-1）。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.符合条件4且论文已见刊的学生，创新能力分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评分依据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只包括科研论文，创新能力分由学院专家审核小组评定，评分范围为0.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-0.6。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在核心期刊发表论文，SCI、EI论文每篇以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0.6分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计，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独立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作者获全额分数，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第一作者获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0.5分；其他核心期刊论文每篇以0.4分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计，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独立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作者获全额分数，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第一作者获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0.3分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。（期刊认定以科技部发布的认定通知为标准）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符合条件1和2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的学生创新能力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分不高于0.2分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评分参考范围见下表：</w:t>
      </w:r>
    </w:p>
    <w:tbl>
      <w:tblPr>
        <w:tblStyle w:val="7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69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418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2535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  <w:t>等级</w:t>
            </w:r>
          </w:p>
        </w:tc>
        <w:tc>
          <w:tcPr>
            <w:tcW w:w="2082" w:type="dxa"/>
          </w:tcPr>
          <w:p>
            <w:pPr>
              <w:widowControl/>
              <w:shd w:val="clear" w:color="auto" w:fill="FFFFFF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评分参考范围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8" w:type="dxa"/>
            <w:vAlign w:val="center"/>
          </w:tcPr>
          <w:p>
            <w:pPr>
              <w:pStyle w:val="5"/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竞赛</w:t>
            </w:r>
          </w:p>
        </w:tc>
        <w:tc>
          <w:tcPr>
            <w:tcW w:w="2535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条件3以外的</w:t>
            </w:r>
          </w:p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30"/>
                <w:szCs w:val="30"/>
              </w:rPr>
              <w:t>竞赛获奖</w:t>
            </w:r>
          </w:p>
        </w:tc>
        <w:tc>
          <w:tcPr>
            <w:tcW w:w="2082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≦</w:t>
            </w:r>
            <w:r>
              <w:rPr>
                <w:rFonts w:hint="eastAsia" w:ascii="仿宋_GB2312" w:eastAsia="仿宋_GB2312"/>
                <w:sz w:val="30"/>
                <w:szCs w:val="30"/>
              </w:rPr>
              <w:t>0.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创新项目(包括创新训练计划项目、自由探索计划项目、工程实践计划项目、本科生学术论坛）</w:t>
            </w:r>
          </w:p>
        </w:tc>
        <w:tc>
          <w:tcPr>
            <w:tcW w:w="2535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国家级</w:t>
            </w:r>
          </w:p>
        </w:tc>
        <w:tc>
          <w:tcPr>
            <w:tcW w:w="2082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≦</w:t>
            </w:r>
            <w:r>
              <w:rPr>
                <w:rFonts w:hint="eastAsia" w:ascii="仿宋_GB2312" w:eastAsia="仿宋_GB2312"/>
                <w:sz w:val="30"/>
                <w:szCs w:val="30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省级</w:t>
            </w:r>
          </w:p>
        </w:tc>
        <w:tc>
          <w:tcPr>
            <w:tcW w:w="2082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≦</w:t>
            </w:r>
            <w:r>
              <w:rPr>
                <w:rFonts w:hint="eastAsia" w:ascii="仿宋_GB2312" w:eastAsia="仿宋_GB2312"/>
                <w:sz w:val="30"/>
                <w:szCs w:val="30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校级</w:t>
            </w:r>
          </w:p>
        </w:tc>
        <w:tc>
          <w:tcPr>
            <w:tcW w:w="2082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≦</w:t>
            </w:r>
            <w:r>
              <w:rPr>
                <w:rFonts w:hint="eastAsia" w:ascii="仿宋_GB2312" w:eastAsia="仿宋_GB2312"/>
                <w:sz w:val="30"/>
                <w:szCs w:val="30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院级</w:t>
            </w:r>
          </w:p>
        </w:tc>
        <w:tc>
          <w:tcPr>
            <w:tcW w:w="2082" w:type="dxa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≦</w:t>
            </w:r>
            <w:r>
              <w:rPr>
                <w:rFonts w:hint="eastAsia" w:ascii="仿宋_GB2312" w:eastAsia="仿宋_GB2312"/>
                <w:sz w:val="30"/>
                <w:szCs w:val="30"/>
              </w:rPr>
              <w:t>0.04</w:t>
            </w:r>
          </w:p>
        </w:tc>
      </w:tr>
    </w:tbl>
    <w:p>
      <w:pPr>
        <w:widowControl/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学科竞赛的学分认定</w:t>
      </w:r>
    </w:p>
    <w:p>
      <w:pPr>
        <w:widowControl/>
        <w:numPr>
          <w:ilvl w:val="0"/>
          <w:numId w:val="0"/>
        </w:numPr>
        <w:ind w:leftChars="200"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以团队为单位参赛获奖，按照如下情况予以加分认定：</w:t>
      </w:r>
      <w:r>
        <w:rPr>
          <w:rFonts w:hint="eastAsia" w:ascii="仿宋" w:hAnsi="仿宋" w:eastAsia="仿宋"/>
          <w:sz w:val="32"/>
          <w:szCs w:val="32"/>
        </w:rPr>
        <w:t>三级类比赛</w:t>
      </w:r>
      <w:r>
        <w:rPr>
          <w:rFonts w:ascii="仿宋" w:hAnsi="仿宋" w:eastAsia="仿宋"/>
          <w:sz w:val="32"/>
          <w:szCs w:val="32"/>
        </w:rPr>
        <w:t>取</w:t>
      </w:r>
      <w:r>
        <w:rPr>
          <w:rFonts w:hint="eastAsia" w:ascii="仿宋" w:hAnsi="仿宋" w:eastAsia="仿宋"/>
          <w:sz w:val="32"/>
          <w:szCs w:val="32"/>
        </w:rPr>
        <w:t>前三名</w:t>
      </w:r>
      <w:r>
        <w:rPr>
          <w:rFonts w:ascii="仿宋" w:hAnsi="仿宋" w:eastAsia="仿宋"/>
          <w:sz w:val="32"/>
          <w:szCs w:val="32"/>
        </w:rPr>
        <w:t>加分</w:t>
      </w:r>
      <w:r>
        <w:rPr>
          <w:rFonts w:hint="eastAsia" w:ascii="仿宋" w:hAnsi="仿宋" w:eastAsia="仿宋"/>
          <w:sz w:val="32"/>
          <w:szCs w:val="32"/>
        </w:rPr>
        <w:t>；二级类比赛取前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名加分；一级类比赛取前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名加分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排序以获奖证书名单顺序为准，如有特殊情况，由赛事组织单位或指导教师出具排序证明。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highlight w:val="none"/>
          <w:lang w:eastAsia="zh-CN"/>
        </w:rPr>
        <w:t>经排序，第一位获全额学分，之后位次加一半的分数。</w:t>
      </w:r>
    </w:p>
    <w:p>
      <w:pPr>
        <w:widowControl/>
        <w:jc w:val="center"/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学科竞赛评分认定表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90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竞赛级别</w:t>
            </w: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ind w:left="-63" w:leftChars="-30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认定加分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I甲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一级甲等最高级别奖及第二高级别奖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设有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特等奖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Ⅰ乙</w:t>
            </w: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一等奖及以上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Ⅱ甲</w:t>
            </w: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一等奖及以上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Ⅱ乙</w:t>
            </w: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一等奖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及以上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Ⅲ甲、Ⅲ乙</w:t>
            </w: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一等奖</w:t>
            </w:r>
            <w:r>
              <w:rPr>
                <w:rFonts w:ascii="仿宋_GB2312" w:eastAsia="仿宋_GB2312"/>
                <w:sz w:val="32"/>
                <w:szCs w:val="32"/>
              </w:rPr>
              <w:t>及以上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二等奖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04</w:t>
            </w:r>
          </w:p>
        </w:tc>
      </w:tr>
    </w:tbl>
    <w:p>
      <w:pPr>
        <w:widowControl/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参加创新项目的学分认定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项目组成员只取前五名加分，其中国家级创新项目负责人获全额分数，团队成员加一半的分数；省部级创新项目负责人获全额分数，团队成员加一半的分数；校级创新项目负责人获全额分数，团队成员加一半的分数。团队成员排序以项目申报书中的排序为准，如有调整，必须出具指导老师及团队所有成员签字的团队排序证明。如果因排序问题发生争议，则该项目不予以认定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381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5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项目级别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项目情况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ind w:left="-63" w:leftChars="-30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国家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级</w:t>
            </w:r>
          </w:p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创新项目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结题优秀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结题合格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立项未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结题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（仅认定通过中期检查但没有验收的项目）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省部</w:t>
            </w:r>
            <w:r>
              <w:rPr>
                <w:rFonts w:ascii="仿宋_GB2312" w:eastAsia="仿宋_GB2312"/>
                <w:sz w:val="32"/>
                <w:szCs w:val="32"/>
              </w:rPr>
              <w:t>级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创新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结题优秀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结题合格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立项未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结题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（仅认定通过中期检查但没有验收的项目）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校级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创新</w:t>
            </w:r>
            <w:r>
              <w:rPr>
                <w:rFonts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结题良好/优秀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结题合格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立项未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结题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（仅认定通过中期检查但没有验收的项目）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院级</w:t>
            </w:r>
          </w:p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创新项目</w:t>
            </w: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结题良好/优秀</w:t>
            </w:r>
            <w:bookmarkEnd w:id="0"/>
            <w:bookmarkEnd w:id="1"/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结题合格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02</w:t>
            </w:r>
          </w:p>
        </w:tc>
      </w:tr>
    </w:tbl>
    <w:p>
      <w:pPr>
        <w:widowControl/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本科生学术论坛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的学分认定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参加本科生学术论坛，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特等奖、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一等奖论文计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分，二等奖计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分，三等奖计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分。第一作者获全额分数，以后位次获一半分数。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（五）素质拓展分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不高于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评分依据包括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评优评奖、</w:t>
      </w:r>
      <w:r>
        <w:rPr>
          <w:rFonts w:ascii="仿宋_GB2312" w:hAnsi="宋体" w:eastAsia="仿宋_GB2312" w:cs="宋体"/>
          <w:color w:val="000000"/>
          <w:sz w:val="32"/>
          <w:szCs w:val="32"/>
        </w:rPr>
        <w:t>参军入伍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服兵役、到国际组织实习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评优评奖取最高项得分，不重复计分；</w:t>
      </w:r>
      <w:r>
        <w:rPr>
          <w:rFonts w:ascii="仿宋_GB2312" w:hAnsi="宋体" w:eastAsia="仿宋_GB2312" w:cs="宋体"/>
          <w:color w:val="000000"/>
          <w:sz w:val="32"/>
          <w:szCs w:val="32"/>
        </w:rPr>
        <w:t>参军入伍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服兵役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计0.1分；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到国际组织实习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计0.1分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474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类别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项目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省部级及以上表彰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全国</w:t>
            </w:r>
            <w:r>
              <w:rPr>
                <w:rFonts w:ascii="仿宋" w:hAnsi="仿宋" w:eastAsia="仿宋" w:cs="宋体"/>
                <w:sz w:val="28"/>
              </w:rPr>
              <w:t>优秀</w:t>
            </w:r>
            <w:r>
              <w:rPr>
                <w:rFonts w:hint="eastAsia" w:ascii="仿宋" w:hAnsi="仿宋" w:eastAsia="仿宋" w:cs="宋体"/>
                <w:sz w:val="28"/>
              </w:rPr>
              <w:t>共青团员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全国</w:t>
            </w:r>
            <w:r>
              <w:rPr>
                <w:rFonts w:ascii="仿宋" w:hAnsi="仿宋" w:eastAsia="仿宋" w:cs="宋体"/>
                <w:sz w:val="28"/>
              </w:rPr>
              <w:t>大学生年度</w:t>
            </w:r>
            <w:r>
              <w:rPr>
                <w:rFonts w:hint="eastAsia" w:ascii="仿宋" w:hAnsi="仿宋" w:eastAsia="仿宋" w:cs="宋体"/>
                <w:sz w:val="28"/>
              </w:rPr>
              <w:t>人物（含提名）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全国</w:t>
            </w:r>
            <w:r>
              <w:rPr>
                <w:rFonts w:ascii="仿宋" w:hAnsi="仿宋" w:eastAsia="仿宋" w:cs="宋体"/>
                <w:sz w:val="28"/>
              </w:rPr>
              <w:t>大学生自强之星</w:t>
            </w:r>
            <w:r>
              <w:rPr>
                <w:rFonts w:hint="eastAsia" w:ascii="仿宋" w:hAnsi="仿宋" w:eastAsia="仿宋" w:cs="宋体"/>
                <w:sz w:val="28"/>
              </w:rPr>
              <w:t>（含</w:t>
            </w:r>
            <w:r>
              <w:rPr>
                <w:rFonts w:ascii="仿宋" w:hAnsi="仿宋" w:eastAsia="仿宋" w:cs="宋体"/>
                <w:sz w:val="28"/>
              </w:rPr>
              <w:t>提名</w:t>
            </w:r>
            <w:r>
              <w:rPr>
                <w:rFonts w:hint="eastAsia" w:ascii="仿宋" w:hAnsi="仿宋" w:eastAsia="仿宋" w:cs="宋体"/>
                <w:sz w:val="28"/>
              </w:rPr>
              <w:t>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江苏省</w:t>
            </w:r>
            <w:r>
              <w:rPr>
                <w:rFonts w:ascii="仿宋" w:hAnsi="仿宋" w:eastAsia="仿宋" w:cs="宋体"/>
                <w:sz w:val="28"/>
              </w:rPr>
              <w:t>大学生年度人物（</w:t>
            </w:r>
            <w:r>
              <w:rPr>
                <w:rFonts w:hint="eastAsia" w:ascii="仿宋" w:hAnsi="仿宋" w:eastAsia="仿宋" w:cs="宋体"/>
                <w:sz w:val="28"/>
              </w:rPr>
              <w:t>含</w:t>
            </w:r>
            <w:r>
              <w:rPr>
                <w:rFonts w:ascii="仿宋" w:hAnsi="仿宋" w:eastAsia="仿宋" w:cs="宋体"/>
                <w:sz w:val="28"/>
              </w:rPr>
              <w:t>提名）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江苏省</w:t>
            </w:r>
            <w:r>
              <w:rPr>
                <w:rFonts w:ascii="仿宋" w:hAnsi="仿宋" w:eastAsia="仿宋" w:cs="宋体"/>
                <w:sz w:val="28"/>
              </w:rPr>
              <w:t>十佳团支书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江苏省</w:t>
            </w:r>
            <w:r>
              <w:rPr>
                <w:rFonts w:ascii="仿宋" w:hAnsi="仿宋" w:eastAsia="仿宋" w:cs="宋体"/>
                <w:sz w:val="28"/>
              </w:rPr>
              <w:t>优秀共青团</w:t>
            </w:r>
            <w:r>
              <w:rPr>
                <w:rFonts w:hint="eastAsia" w:ascii="仿宋" w:hAnsi="仿宋" w:eastAsia="仿宋" w:cs="宋体"/>
                <w:sz w:val="28"/>
              </w:rPr>
              <w:t>员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国家</w:t>
            </w:r>
            <w:r>
              <w:rPr>
                <w:rFonts w:ascii="仿宋" w:hAnsi="仿宋" w:eastAsia="仿宋" w:cs="宋体"/>
                <w:sz w:val="28"/>
              </w:rPr>
              <w:t>奖学金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江苏省</w:t>
            </w:r>
            <w:r>
              <w:rPr>
                <w:rFonts w:ascii="仿宋" w:hAnsi="仿宋" w:eastAsia="仿宋" w:cs="宋体"/>
                <w:sz w:val="28"/>
              </w:rPr>
              <w:t>三好学生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江苏省</w:t>
            </w:r>
            <w:r>
              <w:rPr>
                <w:rFonts w:ascii="仿宋" w:hAnsi="仿宋" w:eastAsia="仿宋" w:cs="宋体"/>
                <w:sz w:val="28"/>
              </w:rPr>
              <w:t>优秀学生干部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校级表彰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校长特别嘉奖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十大杰出</w:t>
            </w:r>
            <w:r>
              <w:rPr>
                <w:rFonts w:ascii="仿宋" w:hAnsi="仿宋" w:eastAsia="仿宋" w:cs="宋体"/>
                <w:sz w:val="28"/>
              </w:rPr>
              <w:t>青年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十大</w:t>
            </w:r>
            <w:r>
              <w:rPr>
                <w:rFonts w:ascii="仿宋" w:hAnsi="仿宋" w:eastAsia="仿宋" w:cs="宋体"/>
                <w:sz w:val="28"/>
              </w:rPr>
              <w:t>杰出青年提名奖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年度特别嘉奖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校</w:t>
            </w:r>
            <w:r>
              <w:rPr>
                <w:rFonts w:ascii="仿宋" w:hAnsi="仿宋" w:eastAsia="仿宋" w:cs="宋体"/>
                <w:sz w:val="28"/>
              </w:rPr>
              <w:t>百佳青年</w:t>
            </w:r>
            <w:r>
              <w:rPr>
                <w:rFonts w:hint="eastAsia" w:ascii="仿宋" w:hAnsi="仿宋" w:eastAsia="仿宋" w:cs="宋体"/>
                <w:sz w:val="28"/>
              </w:rPr>
              <w:t>(以</w:t>
            </w:r>
            <w:r>
              <w:rPr>
                <w:rFonts w:ascii="仿宋" w:hAnsi="仿宋" w:eastAsia="仿宋" w:cs="宋体"/>
                <w:sz w:val="28"/>
              </w:rPr>
              <w:t>今年评选为起始日期</w:t>
            </w:r>
            <w:r>
              <w:rPr>
                <w:rFonts w:hint="eastAsia" w:ascii="仿宋" w:hAnsi="仿宋" w:eastAsia="仿宋" w:cs="宋体"/>
                <w:sz w:val="28"/>
              </w:rPr>
              <w:t>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</w:p>
        </w:tc>
        <w:tc>
          <w:tcPr>
            <w:tcW w:w="4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校</w:t>
            </w:r>
            <w:r>
              <w:rPr>
                <w:rFonts w:ascii="仿宋" w:hAnsi="仿宋" w:eastAsia="仿宋" w:cs="宋体"/>
                <w:sz w:val="28"/>
              </w:rPr>
              <w:t>十大优秀青年志愿者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0.05</w:t>
            </w:r>
          </w:p>
        </w:tc>
      </w:tr>
    </w:tbl>
    <w:p>
      <w:pPr>
        <w:widowControl/>
        <w:numPr>
          <w:ilvl w:val="0"/>
          <w:numId w:val="3"/>
        </w:numPr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以上未尽事项，由学院推免工作组具有最终解释权。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</w:p>
    <w:p>
      <w:pPr>
        <w:ind w:firstLine="43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机电</w:t>
      </w:r>
      <w:r>
        <w:rPr>
          <w:rFonts w:ascii="仿宋_GB2312" w:eastAsia="仿宋_GB2312"/>
          <w:sz w:val="32"/>
          <w:szCs w:val="32"/>
        </w:rPr>
        <w:t>学院</w:t>
      </w:r>
    </w:p>
    <w:p>
      <w:pPr>
        <w:widowControl/>
        <w:numPr>
          <w:ilvl w:val="0"/>
          <w:numId w:val="0"/>
        </w:numPr>
        <w:jc w:val="righ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CD847"/>
    <w:multiLevelType w:val="singleLevel"/>
    <w:tmpl w:val="B72CD84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3B39C55"/>
    <w:multiLevelType w:val="singleLevel"/>
    <w:tmpl w:val="E3B39C5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3A15B0"/>
    <w:multiLevelType w:val="multilevel"/>
    <w:tmpl w:val="7C3A15B0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E749E"/>
    <w:rsid w:val="000D3F78"/>
    <w:rsid w:val="000F40E2"/>
    <w:rsid w:val="001566E0"/>
    <w:rsid w:val="00167A37"/>
    <w:rsid w:val="001A6C72"/>
    <w:rsid w:val="001D00EB"/>
    <w:rsid w:val="00217563"/>
    <w:rsid w:val="00222883"/>
    <w:rsid w:val="002356D8"/>
    <w:rsid w:val="00290A0C"/>
    <w:rsid w:val="002D4F24"/>
    <w:rsid w:val="003057D1"/>
    <w:rsid w:val="00317143"/>
    <w:rsid w:val="0034289D"/>
    <w:rsid w:val="00374CF3"/>
    <w:rsid w:val="003F4574"/>
    <w:rsid w:val="00421C5B"/>
    <w:rsid w:val="0042341E"/>
    <w:rsid w:val="004B7EE6"/>
    <w:rsid w:val="00524C8E"/>
    <w:rsid w:val="00526F68"/>
    <w:rsid w:val="005522EC"/>
    <w:rsid w:val="005D31A5"/>
    <w:rsid w:val="00603B29"/>
    <w:rsid w:val="0062237B"/>
    <w:rsid w:val="0063224D"/>
    <w:rsid w:val="00641FBD"/>
    <w:rsid w:val="00643ED1"/>
    <w:rsid w:val="006442AA"/>
    <w:rsid w:val="00660E9E"/>
    <w:rsid w:val="006956F9"/>
    <w:rsid w:val="006B13E5"/>
    <w:rsid w:val="0070210C"/>
    <w:rsid w:val="00706C06"/>
    <w:rsid w:val="00747A4E"/>
    <w:rsid w:val="00782942"/>
    <w:rsid w:val="008249EE"/>
    <w:rsid w:val="00846CCA"/>
    <w:rsid w:val="008A1192"/>
    <w:rsid w:val="008E42A5"/>
    <w:rsid w:val="008F270B"/>
    <w:rsid w:val="00915433"/>
    <w:rsid w:val="00987D9E"/>
    <w:rsid w:val="00992EBC"/>
    <w:rsid w:val="00A51D69"/>
    <w:rsid w:val="00A54E27"/>
    <w:rsid w:val="00AE1173"/>
    <w:rsid w:val="00AF4461"/>
    <w:rsid w:val="00B357BF"/>
    <w:rsid w:val="00BC0B37"/>
    <w:rsid w:val="00CC1414"/>
    <w:rsid w:val="00CC62E5"/>
    <w:rsid w:val="00D16FE8"/>
    <w:rsid w:val="00DC6CD3"/>
    <w:rsid w:val="00E60EC5"/>
    <w:rsid w:val="00E87620"/>
    <w:rsid w:val="00EB7945"/>
    <w:rsid w:val="00F153C4"/>
    <w:rsid w:val="00F7073D"/>
    <w:rsid w:val="00FD1CDD"/>
    <w:rsid w:val="00FF7C92"/>
    <w:rsid w:val="03BB2AA9"/>
    <w:rsid w:val="06DA462F"/>
    <w:rsid w:val="08D62913"/>
    <w:rsid w:val="0B0E6CF0"/>
    <w:rsid w:val="0B634D83"/>
    <w:rsid w:val="0CF8149A"/>
    <w:rsid w:val="0E330277"/>
    <w:rsid w:val="0EA02273"/>
    <w:rsid w:val="0F3A7285"/>
    <w:rsid w:val="11A94472"/>
    <w:rsid w:val="1410318D"/>
    <w:rsid w:val="16134205"/>
    <w:rsid w:val="16392E6C"/>
    <w:rsid w:val="1705061B"/>
    <w:rsid w:val="184D6CC3"/>
    <w:rsid w:val="19516CCA"/>
    <w:rsid w:val="1AA934F6"/>
    <w:rsid w:val="1AF878C5"/>
    <w:rsid w:val="1C6D6502"/>
    <w:rsid w:val="1CBA1FF8"/>
    <w:rsid w:val="1DAD689E"/>
    <w:rsid w:val="20634879"/>
    <w:rsid w:val="21FD0A0E"/>
    <w:rsid w:val="23952A11"/>
    <w:rsid w:val="265C0D7B"/>
    <w:rsid w:val="26D47A6E"/>
    <w:rsid w:val="28321E71"/>
    <w:rsid w:val="286B5961"/>
    <w:rsid w:val="28942B71"/>
    <w:rsid w:val="298D23A9"/>
    <w:rsid w:val="2A8D4237"/>
    <w:rsid w:val="2E861B82"/>
    <w:rsid w:val="2EBC214D"/>
    <w:rsid w:val="2F6A0F36"/>
    <w:rsid w:val="30AD0364"/>
    <w:rsid w:val="31FA311B"/>
    <w:rsid w:val="34226247"/>
    <w:rsid w:val="36491E13"/>
    <w:rsid w:val="394837C1"/>
    <w:rsid w:val="39587511"/>
    <w:rsid w:val="3BC401D9"/>
    <w:rsid w:val="3BD8279D"/>
    <w:rsid w:val="3BF13AF8"/>
    <w:rsid w:val="3DCF1126"/>
    <w:rsid w:val="3E700E09"/>
    <w:rsid w:val="3F96572D"/>
    <w:rsid w:val="3FD4680E"/>
    <w:rsid w:val="413663E9"/>
    <w:rsid w:val="41606D49"/>
    <w:rsid w:val="421332D0"/>
    <w:rsid w:val="45B313FC"/>
    <w:rsid w:val="47AF5A51"/>
    <w:rsid w:val="47FE5FF1"/>
    <w:rsid w:val="481B569F"/>
    <w:rsid w:val="48B44DD4"/>
    <w:rsid w:val="4A18199B"/>
    <w:rsid w:val="4B7554A2"/>
    <w:rsid w:val="4BE9048E"/>
    <w:rsid w:val="4EB40B1F"/>
    <w:rsid w:val="4F325D26"/>
    <w:rsid w:val="51B60A25"/>
    <w:rsid w:val="52E43D23"/>
    <w:rsid w:val="52E44609"/>
    <w:rsid w:val="55A72D85"/>
    <w:rsid w:val="57DF69ED"/>
    <w:rsid w:val="58996D01"/>
    <w:rsid w:val="5B540DD9"/>
    <w:rsid w:val="5BCD071C"/>
    <w:rsid w:val="5DAA5139"/>
    <w:rsid w:val="5E84267D"/>
    <w:rsid w:val="5F760480"/>
    <w:rsid w:val="5FAA254A"/>
    <w:rsid w:val="60591FA3"/>
    <w:rsid w:val="609E1153"/>
    <w:rsid w:val="633B5297"/>
    <w:rsid w:val="636C0373"/>
    <w:rsid w:val="63B6711F"/>
    <w:rsid w:val="64DD193C"/>
    <w:rsid w:val="65071259"/>
    <w:rsid w:val="65AD148B"/>
    <w:rsid w:val="66F950A1"/>
    <w:rsid w:val="69380FCE"/>
    <w:rsid w:val="69417725"/>
    <w:rsid w:val="6A991C06"/>
    <w:rsid w:val="6CF379C3"/>
    <w:rsid w:val="6D8F4DEA"/>
    <w:rsid w:val="6DC62B30"/>
    <w:rsid w:val="6DCE749E"/>
    <w:rsid w:val="6F360F6C"/>
    <w:rsid w:val="73627E42"/>
    <w:rsid w:val="78983D7D"/>
    <w:rsid w:val="7A3C68C8"/>
    <w:rsid w:val="7C200418"/>
    <w:rsid w:val="7D9645BC"/>
    <w:rsid w:val="7DD76F13"/>
    <w:rsid w:val="7DFB6DE1"/>
    <w:rsid w:val="7FC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4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270</Words>
  <Characters>1542</Characters>
  <Lines>12</Lines>
  <Paragraphs>3</Paragraphs>
  <TotalTime>39</TotalTime>
  <ScaleCrop>false</ScaleCrop>
  <LinksUpToDate>false</LinksUpToDate>
  <CharactersWithSpaces>1809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2021-08-18T08:26:00Z</dcterms:created>
  <dc:creator>卢丽丽</dc:creator>
  <cp:lastModifiedBy>珂欣</cp:lastModifiedBy>
  <cp:lastPrinted>2021-06-03T03:09:00Z</cp:lastPrinted>
  <dcterms:modified xsi:type="dcterms:W3CDTF">2021-09-13T08:20:20Z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AB354F88D92145B79AAD7E4F2A5CA19C</vt:lpwstr>
  </property>
</Properties>
</file>